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______________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с.</w:t>
      </w:r>
      <w:proofErr w:type="gramStart"/>
      <w:r w:rsidRPr="00EF4129">
        <w:rPr>
          <w:rFonts w:ascii="Times New Roman" w:hAnsi="Times New Roman"/>
          <w:sz w:val="28"/>
          <w:szCs w:val="28"/>
        </w:rPr>
        <w:t xml:space="preserve"> .</w:t>
      </w:r>
      <w:proofErr w:type="gramEnd"/>
      <w:r w:rsidRPr="00EF4129">
        <w:rPr>
          <w:rFonts w:ascii="Times New Roman" w:hAnsi="Times New Roman"/>
          <w:sz w:val="28"/>
          <w:szCs w:val="28"/>
        </w:rPr>
        <w:t>_______________</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E15CB0" w:rsidRPr="00EF4129">
        <w:rPr>
          <w:rFonts w:ascii="Times New Roman" w:hAnsi="Times New Roman"/>
          <w:sz w:val="28"/>
          <w:szCs w:val="28"/>
        </w:rPr>
        <w:t>_______________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В соответствии с Федеральными законами от 06.10.2003 № 131-ФЗ «</w:t>
      </w:r>
      <w:proofErr w:type="gramStart"/>
      <w:r w:rsidRPr="00EF4129">
        <w:rPr>
          <w:lang w:eastAsia="ru-RU"/>
        </w:rPr>
        <w:t>Об</w:t>
      </w:r>
      <w:proofErr w:type="gramEnd"/>
      <w:r w:rsidRPr="00EF4129">
        <w:rPr>
          <w:lang w:eastAsia="ru-RU"/>
        </w:rPr>
        <w:t xml:space="preserve"> </w:t>
      </w:r>
      <w:proofErr w:type="gramStart"/>
      <w:r w:rsidRPr="00EF4129">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EF4129">
        <w:t xml:space="preserve"> силу некоторых актов и отдельных положений актов Правительства Российской Федерации», Уставом </w:t>
      </w:r>
      <w:r w:rsidR="00E15CB0" w:rsidRPr="00EF4129">
        <w:rPr>
          <w:rFonts w:eastAsia="Times New Roman"/>
          <w:lang w:eastAsia="ru-RU"/>
        </w:rPr>
        <w:t>_______________ сельского поселения Грибановского муниципального района Воронежской области,</w:t>
      </w:r>
      <w:r w:rsidRPr="00EF4129">
        <w:t xml:space="preserve"> администрация </w:t>
      </w:r>
      <w:r w:rsidR="00E15CB0" w:rsidRPr="00EF4129">
        <w:rPr>
          <w:rFonts w:eastAsia="Times New Roman"/>
          <w:lang w:eastAsia="ru-RU"/>
        </w:rPr>
        <w:t>_______________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E15CB0" w:rsidRPr="00EF4129">
        <w:rPr>
          <w:rFonts w:eastAsia="Times New Roman"/>
          <w:lang w:eastAsia="ru-RU"/>
        </w:rPr>
        <w:t>_______________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E15CB0" w:rsidRPr="00EF4129">
        <w:rPr>
          <w:rFonts w:ascii="Times New Roman" w:hAnsi="Times New Roman" w:cs="Times New Roman"/>
          <w:b w:val="0"/>
          <w:sz w:val="28"/>
          <w:szCs w:val="28"/>
        </w:rPr>
        <w:t>_______________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от «___»______ 2015 г. №___ «</w:t>
      </w:r>
      <w:r w:rsidRPr="00EF4129">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 сельского поселения по предоставлению муниципальной услуги «</w:t>
      </w:r>
      <w:r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«___»______</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№___ «</w:t>
      </w:r>
      <w:r w:rsidR="00D35ACE" w:rsidRPr="00EF4129">
        <w:rPr>
          <w:rFonts w:ascii="Times New Roman" w:hAnsi="Times New Roman" w:cs="Times New Roman"/>
          <w:b w:val="0"/>
          <w:sz w:val="28"/>
          <w:szCs w:val="28"/>
        </w:rPr>
        <w:t>О внесении изменений в постановление администрации ___________ сельского поселения Грибановского муниципального района Воронежской области от _____. 2015 г. № _____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D35ACE" w:rsidRPr="00EF4129">
        <w:rPr>
          <w:rFonts w:ascii="Times New Roman" w:eastAsia="SimSun" w:hAnsi="Times New Roman" w:cs="Times New Roman"/>
          <w:b w:val="0"/>
          <w:kern w:val="2"/>
          <w:sz w:val="28"/>
          <w:szCs w:val="28"/>
          <w:lang w:eastAsia="hi-IN" w:bidi="hi-IN"/>
        </w:rPr>
        <w:t xml:space="preserve">__________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xml:space="preserve">- от «___»______ 2018 г. №___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765199" w:rsidRPr="00EF4129">
        <w:rPr>
          <w:rFonts w:ascii="Times New Roman" w:hAnsi="Times New Roman"/>
          <w:bCs/>
          <w:kern w:val="28"/>
          <w:sz w:val="28"/>
          <w:szCs w:val="28"/>
        </w:rPr>
        <w:t>__________</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xml:space="preserve">- от «___»______ 2019 г. №___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765199" w:rsidRPr="00EF4129">
        <w:rPr>
          <w:rFonts w:ascii="Times New Roman" w:hAnsi="Times New Roman"/>
          <w:bCs/>
          <w:kern w:val="28"/>
          <w:sz w:val="28"/>
          <w:szCs w:val="28"/>
        </w:rPr>
        <w:t>___________</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____________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eastAsia="Arial Unicode MS" w:hAnsi="Times New Roman"/>
          <w:sz w:val="28"/>
          <w:szCs w:val="28"/>
          <w:lang w:bidi="ru-RU"/>
        </w:rPr>
        <w:t xml:space="preserve">____________ </w:t>
      </w:r>
      <w:r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7B0093" w:rsidRPr="00EF4129">
        <w:rPr>
          <w:bCs/>
          <w:i w:val="0"/>
          <w:kern w:val="28"/>
          <w:sz w:val="28"/>
          <w:szCs w:val="28"/>
        </w:rPr>
        <w:t>___________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Pr="00EF4129">
        <w:rPr>
          <w:bCs/>
          <w:kern w:val="28"/>
          <w:sz w:val="28"/>
          <w:szCs w:val="28"/>
        </w:rPr>
        <w:t>___________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Pr="00EF4129">
        <w:rPr>
          <w:bCs/>
          <w:kern w:val="28"/>
          <w:sz w:val="28"/>
          <w:szCs w:val="28"/>
        </w:rPr>
        <w:t>___________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Pr="00EF4129">
        <w:rPr>
          <w:bCs/>
          <w:kern w:val="28"/>
          <w:sz w:val="28"/>
          <w:szCs w:val="28"/>
        </w:rPr>
        <w:t>___________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Pr="00EF4129">
        <w:rPr>
          <w:bCs/>
          <w:kern w:val="28"/>
          <w:sz w:val="28"/>
          <w:szCs w:val="28"/>
        </w:rPr>
        <w:t>___________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6972B1" w:rsidRPr="00EF4129">
        <w:rPr>
          <w:sz w:val="28"/>
          <w:szCs w:val="28"/>
        </w:rPr>
        <w:t>______________</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xml:space="preserve">, расположенной по адресу: </w:t>
      </w:r>
      <w:r w:rsidR="006E3F11" w:rsidRPr="00EF4129">
        <w:rPr>
          <w:sz w:val="28"/>
          <w:szCs w:val="28"/>
          <w:lang w:val="en-US"/>
        </w:rPr>
        <w:t>www</w:t>
      </w:r>
      <w:proofErr w:type="gramEnd"/>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lastRenderedPageBreak/>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Pr="00EF4129">
        <w:rPr>
          <w:bCs/>
          <w:kern w:val="28"/>
          <w:sz w:val="28"/>
          <w:szCs w:val="28"/>
        </w:rPr>
        <w:t>___________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lastRenderedPageBreak/>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w:t>
      </w:r>
      <w:r w:rsidRPr="00EF4129">
        <w:rPr>
          <w:rFonts w:ascii="Times New Roman" w:hAnsi="Times New Roman"/>
          <w:sz w:val="28"/>
          <w:szCs w:val="28"/>
        </w:rPr>
        <w:lastRenderedPageBreak/>
        <w:t xml:space="preserve">предоставлении муниципальных услуг, утвержденным решением Совета народных депутатов </w:t>
      </w:r>
      <w:r w:rsidR="00433E90" w:rsidRPr="00EF4129">
        <w:rPr>
          <w:rFonts w:ascii="Times New Roman" w:hAnsi="Times New Roman"/>
          <w:bCs/>
          <w:kern w:val="28"/>
          <w:sz w:val="28"/>
          <w:szCs w:val="28"/>
        </w:rPr>
        <w:t>___________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F4129">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http://______________</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w:t>
      </w:r>
      <w:r w:rsidRPr="00EF4129">
        <w:rPr>
          <w:rFonts w:ascii="Times New Roman" w:eastAsiaTheme="minorHAnsi" w:hAnsi="Times New Roman"/>
          <w:sz w:val="28"/>
          <w:szCs w:val="28"/>
          <w:lang w:eastAsia="en-US"/>
        </w:rPr>
        <w:lastRenderedPageBreak/>
        <w:t>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xml:space="preserve">, а также случаев проведения аукциона на право </w:t>
      </w:r>
      <w:r w:rsidR="000A7F41" w:rsidRPr="00EF4129">
        <w:rPr>
          <w:rFonts w:ascii="Times New Roman" w:hAnsi="Times New Roman"/>
          <w:sz w:val="28"/>
          <w:szCs w:val="28"/>
        </w:rPr>
        <w:lastRenderedPageBreak/>
        <w:t>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EF4129">
        <w:rPr>
          <w:rFonts w:ascii="Times New Roman" w:hAnsi="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В случае</w:t>
      </w:r>
      <w:proofErr w:type="gramStart"/>
      <w:r w:rsidRPr="00EF4129">
        <w:rPr>
          <w:sz w:val="28"/>
          <w:szCs w:val="28"/>
        </w:rPr>
        <w:t>,</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lastRenderedPageBreak/>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lastRenderedPageBreak/>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w:t>
      </w:r>
      <w:r w:rsidR="00F7504A" w:rsidRPr="00EF4129">
        <w:rPr>
          <w:sz w:val="28"/>
          <w:szCs w:val="28"/>
        </w:rPr>
        <w:lastRenderedPageBreak/>
        <w:t xml:space="preserve">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w:t>
      </w:r>
      <w:r w:rsidR="00F7504A" w:rsidRPr="00EF4129">
        <w:rPr>
          <w:sz w:val="28"/>
          <w:szCs w:val="28"/>
        </w:rPr>
        <w:lastRenderedPageBreak/>
        <w:t xml:space="preserve">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lastRenderedPageBreak/>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w:t>
      </w:r>
      <w:proofErr w:type="gramStart"/>
      <w:r w:rsidRPr="00EF4129">
        <w:rPr>
          <w:sz w:val="28"/>
          <w:szCs w:val="28"/>
        </w:rPr>
        <w:t>федеральными</w:t>
      </w:r>
      <w:proofErr w:type="gramEnd"/>
      <w:r w:rsidRPr="00EF4129">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w:t>
      </w:r>
      <w:r w:rsidRPr="00EF4129">
        <w:rPr>
          <w:rFonts w:ascii="Times New Roman" w:hAnsi="Times New Roman"/>
          <w:sz w:val="28"/>
          <w:szCs w:val="28"/>
        </w:rPr>
        <w:lastRenderedPageBreak/>
        <w:t xml:space="preserve">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w:t>
      </w:r>
      <w:r w:rsidRPr="00EF4129">
        <w:rPr>
          <w:rFonts w:ascii="Times New Roman" w:eastAsiaTheme="minorHAnsi" w:hAnsi="Times New Roman"/>
          <w:sz w:val="28"/>
          <w:szCs w:val="28"/>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r w:rsidRPr="00EF4129">
        <w:rPr>
          <w:rFonts w:ascii="Times New Roman" w:eastAsiaTheme="minorHAnsi" w:hAnsi="Times New Roman"/>
          <w:sz w:val="28"/>
          <w:szCs w:val="28"/>
          <w:lang w:eastAsia="en-US"/>
        </w:rPr>
        <w:lastRenderedPageBreak/>
        <w:t>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EF4129">
        <w:rPr>
          <w:rFonts w:ascii="Times New Roman" w:eastAsiaTheme="minorHAnsi" w:hAnsi="Times New Roman"/>
          <w:sz w:val="28"/>
          <w:szCs w:val="28"/>
          <w:lang w:eastAsia="en-US"/>
        </w:rPr>
        <w:lastRenderedPageBreak/>
        <w:t>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w:t>
      </w:r>
      <w:r w:rsidR="00E2225E" w:rsidRPr="00EF4129">
        <w:rPr>
          <w:rFonts w:ascii="Times New Roman" w:eastAsiaTheme="minorHAnsi" w:hAnsi="Times New Roman"/>
          <w:sz w:val="28"/>
          <w:szCs w:val="28"/>
          <w:lang w:eastAsia="en-US"/>
        </w:rPr>
        <w:lastRenderedPageBreak/>
        <w:t xml:space="preserve">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EF4129">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97B30" w:rsidRPr="00EF4129">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w:t>
      </w:r>
      <w:proofErr w:type="gramStart"/>
      <w:r w:rsidRPr="00EF4129">
        <w:rPr>
          <w:rFonts w:ascii="Times New Roman" w:eastAsiaTheme="minorHAnsi" w:hAnsi="Times New Roman"/>
          <w:sz w:val="28"/>
          <w:szCs w:val="28"/>
        </w:rPr>
        <w:t>межведомственному</w:t>
      </w:r>
      <w:proofErr w:type="gramEnd"/>
      <w:r w:rsidRPr="00EF4129">
        <w:rPr>
          <w:rFonts w:ascii="Times New Roman" w:eastAsiaTheme="minorHAnsi" w:hAnsi="Times New Roman"/>
          <w:sz w:val="28"/>
          <w:szCs w:val="28"/>
        </w:rPr>
        <w:t xml:space="preserve">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lastRenderedPageBreak/>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397B30" w:rsidRPr="00EF4129">
        <w:rPr>
          <w:spacing w:val="0"/>
          <w:sz w:val="28"/>
          <w:szCs w:val="28"/>
          <w:lang w:eastAsia="ru-RU"/>
        </w:rPr>
        <w:t>_______________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397B30" w:rsidRPr="00EF4129">
        <w:rPr>
          <w:spacing w:val="0"/>
          <w:sz w:val="28"/>
          <w:szCs w:val="28"/>
          <w:lang w:eastAsia="ru-RU"/>
        </w:rPr>
        <w:t>_______________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 xml:space="preserve">услуги закрепляется в их </w:t>
      </w:r>
      <w:r w:rsidR="00F7504A" w:rsidRPr="00EF4129">
        <w:rPr>
          <w:sz w:val="28"/>
          <w:szCs w:val="28"/>
        </w:rPr>
        <w:lastRenderedPageBreak/>
        <w:t>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EF4129">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EF4129">
        <w:rPr>
          <w:rFonts w:ascii="Times New Roman" w:hAnsi="Times New Roman"/>
          <w:sz w:val="28"/>
          <w:szCs w:val="28"/>
        </w:rPr>
        <w:lastRenderedPageBreak/>
        <w:t>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F4129">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EF4129">
        <w:rPr>
          <w:rFonts w:ascii="Times New Roman" w:hAnsi="Times New Roman"/>
          <w:sz w:val="28"/>
          <w:szCs w:val="28"/>
        </w:rPr>
        <w:t>приносятся извинения за доставленные неудобства и указывается</w:t>
      </w:r>
      <w:proofErr w:type="gramEnd"/>
      <w:r w:rsidRPr="00EF4129">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lastRenderedPageBreak/>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bookmarkStart w:id="15" w:name="_GoBack"/>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bookmarkEnd w:id="15"/>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Кадастровый номер земельного участка (возможность добавления сведений о </w:t>
            </w:r>
            <w:r w:rsidRPr="00EF4129">
              <w:rPr>
                <w:rFonts w:ascii="Times New Roman" w:eastAsiaTheme="minorHAnsi" w:hAnsi="Times New Roman"/>
                <w:sz w:val="28"/>
                <w:szCs w:val="28"/>
                <w:lang w:eastAsia="en-US"/>
              </w:rPr>
              <w:lastRenderedPageBreak/>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EF4129">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D1" w:rsidRDefault="00C72FD1" w:rsidP="009476CE">
      <w:r>
        <w:separator/>
      </w:r>
    </w:p>
  </w:endnote>
  <w:endnote w:type="continuationSeparator" w:id="0">
    <w:p w:rsidR="00C72FD1" w:rsidRDefault="00C72FD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D1" w:rsidRDefault="00C72FD1" w:rsidP="009476CE">
      <w:r>
        <w:separator/>
      </w:r>
    </w:p>
  </w:footnote>
  <w:footnote w:type="continuationSeparator" w:id="0">
    <w:p w:rsidR="00C72FD1" w:rsidRDefault="00C72FD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9561B4" w:rsidRDefault="009561B4">
        <w:pPr>
          <w:pStyle w:val="a9"/>
          <w:jc w:val="center"/>
        </w:pPr>
        <w:r>
          <w:fldChar w:fldCharType="begin"/>
        </w:r>
        <w:r>
          <w:instrText>PAGE   \* MERGEFORMAT</w:instrText>
        </w:r>
        <w:r>
          <w:fldChar w:fldCharType="separate"/>
        </w:r>
        <w:r w:rsidR="0058427B">
          <w:rPr>
            <w:noProof/>
          </w:rPr>
          <w:t>2</w:t>
        </w:r>
        <w:r>
          <w:fldChar w:fldCharType="end"/>
        </w:r>
      </w:p>
    </w:sdtContent>
  </w:sdt>
  <w:p w:rsidR="009561B4" w:rsidRDefault="009561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CDDF-E03C-443B-A68B-3970EA57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Pages>
  <Words>19700</Words>
  <Characters>112291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Ольга П. Овсянникова</cp:lastModifiedBy>
  <cp:revision>160</cp:revision>
  <cp:lastPrinted>2023-05-31T15:05:00Z</cp:lastPrinted>
  <dcterms:created xsi:type="dcterms:W3CDTF">2023-04-11T06:40:00Z</dcterms:created>
  <dcterms:modified xsi:type="dcterms:W3CDTF">2023-09-05T11:55:00Z</dcterms:modified>
</cp:coreProperties>
</file>